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4A71327"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E60DA4">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E92CB1" w:rsidRPr="00E92CB1">
        <w:rPr>
          <w:rFonts w:eastAsiaTheme="minorEastAsia" w:cs="Arial"/>
          <w:bCs/>
          <w:noProof w:val="0"/>
          <w:color w:val="000000" w:themeColor="text1"/>
          <w:sz w:val="22"/>
          <w:szCs w:val="22"/>
          <w:lang w:val="en-GB" w:eastAsia="zh-CN"/>
        </w:rPr>
        <w:t>2309572</w:t>
      </w:r>
    </w:p>
    <w:p w14:paraId="6A25EC1C" w14:textId="07C6149F" w:rsidR="00E07AF8" w:rsidRPr="006B21ED" w:rsidRDefault="00E60DA4"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7A363ABE"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E60DA4">
        <w:rPr>
          <w:rFonts w:eastAsiaTheme="minorEastAsia" w:cs="Arial"/>
          <w:bCs/>
          <w:noProof w:val="0"/>
          <w:sz w:val="22"/>
          <w:szCs w:val="22"/>
          <w:lang w:eastAsia="zh-CN"/>
        </w:rPr>
        <w:t>8</w:t>
      </w:r>
      <w:r w:rsidR="00DE5956" w:rsidRPr="00DE5956">
        <w:rPr>
          <w:rFonts w:eastAsiaTheme="minorEastAsia" w:cs="Arial"/>
          <w:bCs/>
          <w:noProof w:val="0"/>
          <w:sz w:val="22"/>
          <w:szCs w:val="22"/>
          <w:lang w:eastAsia="zh-CN"/>
        </w:rPr>
        <w:t>.32.</w:t>
      </w:r>
      <w:r w:rsidR="00455F8A">
        <w:rPr>
          <w:rFonts w:eastAsiaTheme="minorEastAsia" w:cs="Arial"/>
          <w:bCs/>
          <w:noProof w:val="0"/>
          <w:sz w:val="22"/>
          <w:szCs w:val="22"/>
          <w:lang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53AE0BC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5103A" w:rsidRPr="0025103A">
        <w:rPr>
          <w:rFonts w:eastAsiaTheme="minorEastAsia" w:cs="Arial"/>
          <w:bCs/>
          <w:noProof w:val="0"/>
          <w:sz w:val="22"/>
          <w:szCs w:val="22"/>
          <w:lang w:eastAsia="zh-CN"/>
        </w:rPr>
        <w:t>Discussion on further NR RedCap UE complexity reduction</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123D3902" w:rsidR="002A7349" w:rsidRPr="00BC73EE" w:rsidRDefault="00A6070E" w:rsidP="00BC73EE">
      <w:pPr>
        <w:jc w:val="both"/>
      </w:pPr>
      <w:r>
        <w:t xml:space="preserve">RAN4 discussed the topics for </w:t>
      </w:r>
      <w:r w:rsidR="00D90D39">
        <w:t xml:space="preserve">rel-18 RedCap RRM </w:t>
      </w:r>
      <w:r w:rsidR="00C37B43">
        <w:t>requirements</w:t>
      </w:r>
      <w:r w:rsidR="00D90D39">
        <w:t xml:space="preserve"> and the issues are captured in the way forward (WF) </w:t>
      </w:r>
      <w:r w:rsidR="00EA429B">
        <w:fldChar w:fldCharType="begin"/>
      </w:r>
      <w:r w:rsidR="00EA429B">
        <w:instrText xml:space="preserve"> REF _Ref115358872 \r \h </w:instrText>
      </w:r>
      <w:r w:rsidR="00EA429B">
        <w:fldChar w:fldCharType="separate"/>
      </w:r>
      <w:r w:rsidR="00672104">
        <w:t>[1]</w:t>
      </w:r>
      <w:r w:rsidR="00EA429B">
        <w:fldChar w:fldCharType="end"/>
      </w:r>
      <w:r w:rsidR="00D90D39">
        <w:t>.</w:t>
      </w:r>
      <w:r>
        <w:t xml:space="preserve"> </w:t>
      </w:r>
      <w:r w:rsidR="00D90D39">
        <w:t>This contribution paper provides further discussion on the issues in this WF.</w:t>
      </w:r>
    </w:p>
    <w:p w14:paraId="0FECC10D" w14:textId="6E7F90B5" w:rsidR="001D43C9" w:rsidRDefault="00440D0E" w:rsidP="00440D0E">
      <w:pPr>
        <w:pStyle w:val="Heading1"/>
        <w:numPr>
          <w:ilvl w:val="0"/>
          <w:numId w:val="1"/>
        </w:numPr>
        <w:jc w:val="both"/>
        <w:rPr>
          <w:rFonts w:ascii="Arial" w:hAnsi="Arial" w:cs="Arial"/>
        </w:rPr>
      </w:pPr>
      <w:r>
        <w:rPr>
          <w:rFonts w:ascii="Arial" w:hAnsi="Arial" w:cs="Arial"/>
        </w:rPr>
        <w:t xml:space="preserve">Discussion </w:t>
      </w:r>
    </w:p>
    <w:p w14:paraId="1D78A7EE" w14:textId="4AB781A9" w:rsidR="00085285" w:rsidRDefault="00B45458" w:rsidP="001D43C9">
      <w:pPr>
        <w:jc w:val="both"/>
      </w:pPr>
      <w:r>
        <w:t xml:space="preserve">The discussion is mainly </w:t>
      </w:r>
      <w:r w:rsidR="00115075">
        <w:t>divided</w:t>
      </w:r>
      <w:r>
        <w:t xml:space="preserve"> into three main items, which are (i) eDRX for INACTIVE mode, </w:t>
      </w:r>
      <w:r w:rsidR="00926FAD">
        <w:t xml:space="preserve">and </w:t>
      </w:r>
      <w:r>
        <w:t xml:space="preserve">(ii) </w:t>
      </w:r>
      <w:r w:rsidR="00EA429B" w:rsidRPr="00EA429B">
        <w:t>RRM impact due to baseband reduction</w:t>
      </w:r>
      <w:r w:rsidR="00EA429B">
        <w:t>.</w:t>
      </w:r>
    </w:p>
    <w:p w14:paraId="36539C9F" w14:textId="77777777" w:rsidR="00EA429B" w:rsidRDefault="00EA429B" w:rsidP="001D43C9">
      <w:pPr>
        <w:jc w:val="both"/>
      </w:pPr>
    </w:p>
    <w:p w14:paraId="5590DEAA" w14:textId="41085429" w:rsidR="00EA429B" w:rsidRDefault="00EA429B" w:rsidP="00EA429B">
      <w:pPr>
        <w:pStyle w:val="Heading2"/>
        <w:numPr>
          <w:ilvl w:val="1"/>
          <w:numId w:val="1"/>
        </w:numPr>
        <w:rPr>
          <w:rFonts w:cs="Arial"/>
        </w:rPr>
      </w:pPr>
      <w:r>
        <w:rPr>
          <w:rFonts w:cs="Arial"/>
        </w:rPr>
        <w:t xml:space="preserve">Discussion on eDRX for INACTIVE mode </w:t>
      </w:r>
    </w:p>
    <w:p w14:paraId="7E0EBD62" w14:textId="1BD98639" w:rsidR="00085285" w:rsidRDefault="00EA429B" w:rsidP="001D43C9">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60F4B134" w14:textId="77777777" w:rsidTr="00EA429B">
        <w:tc>
          <w:tcPr>
            <w:tcW w:w="9629" w:type="dxa"/>
          </w:tcPr>
          <w:p w14:paraId="1D92E95D" w14:textId="77777777" w:rsidR="001E58B1" w:rsidRPr="00F82901" w:rsidRDefault="001E58B1" w:rsidP="001E58B1">
            <w:pPr>
              <w:pStyle w:val="Heading3"/>
              <w:numPr>
                <w:ilvl w:val="0"/>
                <w:numId w:val="0"/>
              </w:numPr>
              <w:ind w:left="720" w:hanging="720"/>
              <w:rPr>
                <w:rFonts w:asciiTheme="minorHAnsi" w:eastAsia="SimSun" w:hAnsiTheme="minorHAnsi" w:cstheme="minorHAnsi"/>
                <w:b/>
                <w:bCs/>
                <w:sz w:val="20"/>
              </w:rPr>
            </w:pPr>
            <w:r w:rsidRPr="00F82901">
              <w:rPr>
                <w:rFonts w:asciiTheme="minorHAnsi" w:eastAsia="SimSun" w:hAnsiTheme="minorHAnsi" w:cstheme="minorHAnsi"/>
                <w:b/>
                <w:bCs/>
                <w:sz w:val="20"/>
              </w:rPr>
              <w:lastRenderedPageBreak/>
              <w:t>Defining of requirements for eDRX cycle &gt; 10.24 sec in FR1 and FR2</w:t>
            </w:r>
          </w:p>
          <w:p w14:paraId="0B7A9D6C" w14:textId="77777777" w:rsidR="00F82901" w:rsidRPr="00F82901" w:rsidRDefault="00F82901" w:rsidP="00F82901">
            <w:pPr>
              <w:rPr>
                <w:rFonts w:ascii="Times New Roman" w:eastAsia="SimSun" w:hAnsi="Times New Roman" w:cs="Times New Roman"/>
                <w:b/>
                <w:color w:val="000000" w:themeColor="text1"/>
                <w:sz w:val="20"/>
                <w:szCs w:val="20"/>
                <w:u w:val="single"/>
                <w:lang w:eastAsia="ko-KR"/>
              </w:rPr>
            </w:pPr>
            <w:r w:rsidRPr="00F82901">
              <w:rPr>
                <w:b/>
                <w:color w:val="000000" w:themeColor="text1"/>
                <w:sz w:val="20"/>
                <w:szCs w:val="20"/>
                <w:u w:val="single"/>
                <w:lang w:eastAsia="ko-KR"/>
              </w:rPr>
              <w:t xml:space="preserve">Extended eDRX range requirements in RRC INACTIVE </w:t>
            </w:r>
          </w:p>
          <w:p w14:paraId="79F5FCB7" w14:textId="77777777" w:rsidR="00F82901" w:rsidRPr="00F82901" w:rsidRDefault="00F82901" w:rsidP="00F82901">
            <w:pPr>
              <w:pStyle w:val="ListParagraph"/>
              <w:numPr>
                <w:ilvl w:val="0"/>
                <w:numId w:val="31"/>
              </w:numPr>
              <w:overflowPunct w:val="0"/>
              <w:autoSpaceDE w:val="0"/>
              <w:autoSpaceDN w:val="0"/>
              <w:adjustRightInd w:val="0"/>
              <w:spacing w:after="120" w:line="252" w:lineRule="auto"/>
              <w:contextualSpacing w:val="0"/>
              <w:rPr>
                <w:bCs/>
                <w:sz w:val="20"/>
                <w:szCs w:val="20"/>
                <w:lang w:eastAsia="en-US"/>
              </w:rPr>
            </w:pPr>
            <w:r w:rsidRPr="00F82901">
              <w:rPr>
                <w:bCs/>
                <w:sz w:val="20"/>
                <w:szCs w:val="20"/>
              </w:rPr>
              <w:t>INACTIVE state requirements for eDRX cycle &gt; 10.24 sec</w:t>
            </w:r>
          </w:p>
          <w:p w14:paraId="5A29E207" w14:textId="557D5173" w:rsidR="00F82901" w:rsidRPr="00F82901" w:rsidRDefault="00F82901" w:rsidP="00F82901">
            <w:pPr>
              <w:pStyle w:val="ListParagraph"/>
              <w:numPr>
                <w:ilvl w:val="1"/>
                <w:numId w:val="31"/>
              </w:numPr>
              <w:overflowPunct w:val="0"/>
              <w:autoSpaceDE w:val="0"/>
              <w:autoSpaceDN w:val="0"/>
              <w:adjustRightInd w:val="0"/>
              <w:spacing w:after="120" w:line="252" w:lineRule="auto"/>
              <w:contextualSpacing w:val="0"/>
              <w:rPr>
                <w:bCs/>
                <w:sz w:val="20"/>
                <w:szCs w:val="20"/>
              </w:rPr>
            </w:pPr>
            <w:r w:rsidRPr="00F82901">
              <w:rPr>
                <w:bCs/>
                <w:sz w:val="20"/>
                <w:szCs w:val="20"/>
              </w:rPr>
              <w:t>The sample number needed to perform the serving cell and intra/inter-frequency neighbor cell detection/evaluation/measurements for corresponding IDLE mode eDRX cycles can be reused for INACTIVE mode eDRX cycles.</w:t>
            </w:r>
          </w:p>
          <w:p w14:paraId="13D10422"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When configured with both IDLE and INACTIVE eDRX configurations for serving cell measurements</w:t>
            </w:r>
          </w:p>
          <w:p w14:paraId="6F14E25A" w14:textId="520B6DCA" w:rsidR="00F82901" w:rsidRPr="00F82901" w:rsidRDefault="00F82901" w:rsidP="00F82901">
            <w:pPr>
              <w:pStyle w:val="ListParagraph"/>
              <w:numPr>
                <w:ilvl w:val="0"/>
                <w:numId w:val="32"/>
              </w:numPr>
              <w:overflowPunct w:val="0"/>
              <w:autoSpaceDE w:val="0"/>
              <w:autoSpaceDN w:val="0"/>
              <w:adjustRightInd w:val="0"/>
              <w:spacing w:after="120" w:line="252" w:lineRule="auto"/>
              <w:contextualSpacing w:val="0"/>
              <w:rPr>
                <w:sz w:val="20"/>
                <w:szCs w:val="20"/>
                <w:lang w:eastAsia="ja-JP"/>
              </w:rPr>
            </w:pPr>
            <w:r w:rsidRPr="00F82901">
              <w:rPr>
                <w:iCs/>
                <w:sz w:val="20"/>
                <w:szCs w:val="20"/>
              </w:rPr>
              <w:t xml:space="preserve">Wait for the RAN2 decisions on the </w:t>
            </w:r>
            <w:r w:rsidRPr="00F82901">
              <w:rPr>
                <w:bCs/>
                <w:sz w:val="20"/>
                <w:szCs w:val="20"/>
              </w:rPr>
              <w:t xml:space="preserve">T value and PTW length design before defining serving cell measurements requirements </w:t>
            </w:r>
          </w:p>
          <w:p w14:paraId="0F3C77A8"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When configured with both IDLE and INACTIVE eDRX configurations for neighbour cell measurements</w:t>
            </w:r>
          </w:p>
          <w:p w14:paraId="1DC71D4F" w14:textId="77777777" w:rsidR="00F82901" w:rsidRPr="00F82901" w:rsidRDefault="00F82901" w:rsidP="00F82901">
            <w:pPr>
              <w:spacing w:after="120"/>
              <w:rPr>
                <w:color w:val="000000" w:themeColor="text1"/>
                <w:sz w:val="20"/>
                <w:szCs w:val="20"/>
              </w:rPr>
            </w:pPr>
            <w:r w:rsidRPr="00F82901">
              <w:rPr>
                <w:color w:val="000000" w:themeColor="text1"/>
                <w:sz w:val="20"/>
                <w:szCs w:val="20"/>
              </w:rPr>
              <w:t>The detection/measurement/evaluation delay requirements for intra-frequency/inter-frequency neighbour cells shall be specified in the step of:</w:t>
            </w:r>
          </w:p>
          <w:p w14:paraId="7ABC18CB" w14:textId="77777777" w:rsidR="00F82901" w:rsidRPr="00F82901" w:rsidRDefault="00F82901" w:rsidP="00F82901">
            <w:pPr>
              <w:pStyle w:val="ListParagraph"/>
              <w:widowControl w:val="0"/>
              <w:numPr>
                <w:ilvl w:val="0"/>
                <w:numId w:val="33"/>
              </w:numPr>
              <w:autoSpaceDN w:val="0"/>
              <w:spacing w:after="120" w:line="240" w:lineRule="auto"/>
              <w:contextualSpacing w:val="0"/>
              <w:jc w:val="both"/>
              <w:rPr>
                <w:rFonts w:eastAsia="SimSun"/>
                <w:color w:val="000000" w:themeColor="text1"/>
                <w:sz w:val="20"/>
                <w:szCs w:val="20"/>
              </w:rPr>
            </w:pPr>
            <w:r w:rsidRPr="00F82901">
              <w:rPr>
                <w:rFonts w:eastAsia="SimSun"/>
                <w:color w:val="000000" w:themeColor="text1"/>
                <w:sz w:val="20"/>
                <w:szCs w:val="20"/>
              </w:rPr>
              <w:t>INACTIVE eDRX cycle, if the eDRX_Inactive=2.56/5.12/10.24sec</w:t>
            </w:r>
          </w:p>
          <w:p w14:paraId="0BDBDA16" w14:textId="4E643A69" w:rsidR="00F82901" w:rsidRPr="00F82901" w:rsidRDefault="00F82901" w:rsidP="00F82901">
            <w:pPr>
              <w:pStyle w:val="ListParagraph"/>
              <w:widowControl w:val="0"/>
              <w:numPr>
                <w:ilvl w:val="0"/>
                <w:numId w:val="33"/>
              </w:numPr>
              <w:autoSpaceDN w:val="0"/>
              <w:spacing w:after="120" w:line="240" w:lineRule="auto"/>
              <w:contextualSpacing w:val="0"/>
              <w:jc w:val="both"/>
              <w:rPr>
                <w:rFonts w:eastAsia="SimSun"/>
                <w:color w:val="000000" w:themeColor="text1"/>
                <w:sz w:val="20"/>
                <w:szCs w:val="20"/>
              </w:rPr>
            </w:pPr>
            <w:r w:rsidRPr="00F82901">
              <w:rPr>
                <w:rFonts w:eastAsia="SimSun"/>
                <w:color w:val="000000" w:themeColor="text1"/>
                <w:sz w:val="20"/>
                <w:szCs w:val="20"/>
              </w:rPr>
              <w:t xml:space="preserve">FFS if eDRX_Inactive </w:t>
            </w:r>
            <w:r w:rsidRPr="00F82901">
              <w:rPr>
                <w:rFonts w:eastAsia="SimSun"/>
                <w:color w:val="000000" w:themeColor="text1"/>
                <w:sz w:val="20"/>
                <w:szCs w:val="20"/>
              </w:rPr>
              <w:sym w:font="Symbol" w:char="F0B3"/>
            </w:r>
            <w:r w:rsidRPr="00F82901">
              <w:rPr>
                <w:rFonts w:eastAsia="SimSun"/>
                <w:color w:val="000000" w:themeColor="text1"/>
                <w:sz w:val="20"/>
                <w:szCs w:val="20"/>
              </w:rPr>
              <w:t xml:space="preserve"> 20.48sec</w:t>
            </w:r>
          </w:p>
          <w:p w14:paraId="0C4A2290"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When to measure when configured with both IDLE and INACTIVE eDRX configurations larger than 10.24s for serving cell measurements</w:t>
            </w:r>
          </w:p>
          <w:p w14:paraId="131C9401" w14:textId="77777777" w:rsidR="00F82901" w:rsidRPr="00F82901" w:rsidRDefault="00F82901" w:rsidP="00F82901">
            <w:pPr>
              <w:pStyle w:val="ListParagraph"/>
              <w:numPr>
                <w:ilvl w:val="0"/>
                <w:numId w:val="33"/>
              </w:numPr>
              <w:overflowPunct w:val="0"/>
              <w:autoSpaceDE w:val="0"/>
              <w:autoSpaceDN w:val="0"/>
              <w:adjustRightInd w:val="0"/>
              <w:spacing w:after="120" w:line="240" w:lineRule="auto"/>
              <w:contextualSpacing w:val="0"/>
              <w:rPr>
                <w:color w:val="000000" w:themeColor="text1"/>
                <w:sz w:val="20"/>
                <w:szCs w:val="20"/>
              </w:rPr>
            </w:pPr>
            <w:r w:rsidRPr="00F82901">
              <w:rPr>
                <w:color w:val="000000" w:themeColor="text1"/>
                <w:sz w:val="20"/>
                <w:szCs w:val="20"/>
              </w:rPr>
              <w:t>Measurements/evaluation period shall be constrained to be within a single PTW irrespective of whether IDLE or INACTIVE eDRX PTW is being used.</w:t>
            </w:r>
          </w:p>
          <w:p w14:paraId="5FDB9A97" w14:textId="6FCBEC22" w:rsidR="00F82901" w:rsidRPr="00F82901" w:rsidRDefault="00F82901" w:rsidP="00F82901">
            <w:pPr>
              <w:pStyle w:val="ListParagraph"/>
              <w:numPr>
                <w:ilvl w:val="1"/>
                <w:numId w:val="33"/>
              </w:numPr>
              <w:overflowPunct w:val="0"/>
              <w:autoSpaceDE w:val="0"/>
              <w:autoSpaceDN w:val="0"/>
              <w:adjustRightInd w:val="0"/>
              <w:spacing w:after="120" w:line="240" w:lineRule="auto"/>
              <w:contextualSpacing w:val="0"/>
              <w:rPr>
                <w:iCs/>
                <w:color w:val="000000" w:themeColor="text1"/>
                <w:sz w:val="20"/>
                <w:szCs w:val="20"/>
                <w:lang w:val="en-US"/>
              </w:rPr>
            </w:pPr>
            <w:r w:rsidRPr="00F82901">
              <w:rPr>
                <w:color w:val="000000" w:themeColor="text1"/>
                <w:sz w:val="20"/>
                <w:szCs w:val="20"/>
              </w:rPr>
              <w:t>Note: Wait for the RAN2 decisions on the T value and PTW.</w:t>
            </w:r>
            <w:r w:rsidRPr="00F82901">
              <w:rPr>
                <w:iCs/>
                <w:color w:val="000000" w:themeColor="text1"/>
                <w:sz w:val="20"/>
                <w:szCs w:val="20"/>
                <w:lang w:val="en-US"/>
              </w:rPr>
              <w:t xml:space="preserve">  </w:t>
            </w:r>
          </w:p>
          <w:p w14:paraId="06C68F3E"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When to measure when configured with both IDLE and INACTIVE eDRX configurations larger than 10.24s for neighbour cell measurements</w:t>
            </w:r>
          </w:p>
          <w:p w14:paraId="4D79FE3A" w14:textId="1866528F" w:rsidR="00F82901" w:rsidRPr="00F82901" w:rsidRDefault="00F82901" w:rsidP="00F82901">
            <w:pPr>
              <w:rPr>
                <w:bCs/>
                <w:color w:val="000000" w:themeColor="text1"/>
                <w:sz w:val="20"/>
                <w:szCs w:val="20"/>
                <w:lang w:val="en-US"/>
              </w:rPr>
            </w:pPr>
            <w:r w:rsidRPr="00F82901">
              <w:rPr>
                <w:bCs/>
                <w:color w:val="000000" w:themeColor="text1"/>
                <w:sz w:val="20"/>
                <w:szCs w:val="20"/>
                <w:lang w:val="en-US"/>
              </w:rPr>
              <w:t>The number of samples needed for T</w:t>
            </w:r>
            <w:r w:rsidRPr="00F82901">
              <w:rPr>
                <w:bCs/>
                <w:color w:val="000000" w:themeColor="text1"/>
                <w:sz w:val="20"/>
                <w:szCs w:val="20"/>
                <w:vertAlign w:val="subscript"/>
                <w:lang w:val="en-US"/>
              </w:rPr>
              <w:t>detect,NR</w:t>
            </w:r>
            <w:r w:rsidRPr="00F82901">
              <w:rPr>
                <w:bCs/>
                <w:color w:val="000000" w:themeColor="text1"/>
                <w:sz w:val="20"/>
                <w:szCs w:val="20"/>
                <w:lang w:val="en-US"/>
              </w:rPr>
              <w:t xml:space="preserve"> of intra-freq or inter-freq cell measurement (measured in DRX cycles) may belong to more than one PTW.</w:t>
            </w:r>
          </w:p>
          <w:p w14:paraId="5C1AD88D"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When to measure when IDLE and INACTIVE eDRX PTW do not coincide</w:t>
            </w:r>
          </w:p>
          <w:p w14:paraId="0CF27F21" w14:textId="77777777" w:rsidR="00F82901" w:rsidRPr="00F82901" w:rsidRDefault="00F82901" w:rsidP="00F82901">
            <w:pPr>
              <w:rPr>
                <w:iCs/>
                <w:color w:val="000000" w:themeColor="text1"/>
                <w:sz w:val="20"/>
                <w:szCs w:val="20"/>
                <w:lang w:val="en-US"/>
              </w:rPr>
            </w:pPr>
            <w:r w:rsidRPr="00F82901">
              <w:rPr>
                <w:iCs/>
                <w:color w:val="000000" w:themeColor="text1"/>
                <w:sz w:val="20"/>
                <w:szCs w:val="20"/>
                <w:lang w:val="en-US"/>
              </w:rPr>
              <w:t>RAN4 to wait for RAN2 progress to discuss following:</w:t>
            </w:r>
          </w:p>
          <w:p w14:paraId="4E03C9AA" w14:textId="77777777" w:rsidR="00F82901" w:rsidRPr="00F82901" w:rsidRDefault="00F82901" w:rsidP="00F82901">
            <w:pPr>
              <w:pStyle w:val="ListParagraph"/>
              <w:numPr>
                <w:ilvl w:val="0"/>
                <w:numId w:val="34"/>
              </w:numPr>
              <w:overflowPunct w:val="0"/>
              <w:autoSpaceDE w:val="0"/>
              <w:autoSpaceDN w:val="0"/>
              <w:adjustRightInd w:val="0"/>
              <w:spacing w:after="180" w:line="240" w:lineRule="auto"/>
              <w:contextualSpacing w:val="0"/>
              <w:rPr>
                <w:iCs/>
                <w:color w:val="000000" w:themeColor="text1"/>
                <w:sz w:val="20"/>
                <w:szCs w:val="20"/>
                <w:lang w:val="en-US"/>
              </w:rPr>
            </w:pPr>
            <w:r w:rsidRPr="00F82901">
              <w:rPr>
                <w:color w:val="000000" w:themeColor="text1"/>
                <w:sz w:val="20"/>
                <w:szCs w:val="20"/>
              </w:rPr>
              <w:t>Whether to clarify the measurement behavior when the PTWs of IDLE and INACTIVE states are not coinciding.</w:t>
            </w:r>
          </w:p>
          <w:p w14:paraId="025C4CD6" w14:textId="77777777" w:rsidR="00F82901" w:rsidRPr="00F82901" w:rsidRDefault="00F82901" w:rsidP="00F82901">
            <w:pPr>
              <w:rPr>
                <w:rFonts w:eastAsia="SimSun"/>
                <w:b/>
                <w:color w:val="000000" w:themeColor="text1"/>
                <w:sz w:val="20"/>
                <w:szCs w:val="20"/>
                <w:u w:val="single"/>
                <w:lang w:eastAsia="ko-KR"/>
              </w:rPr>
            </w:pPr>
            <w:r w:rsidRPr="00F82901">
              <w:rPr>
                <w:b/>
                <w:color w:val="000000" w:themeColor="text1"/>
                <w:sz w:val="20"/>
                <w:szCs w:val="20"/>
                <w:u w:val="single"/>
                <w:lang w:eastAsia="ko-KR"/>
              </w:rPr>
              <w:t xml:space="preserve">Transition requirements </w:t>
            </w:r>
          </w:p>
          <w:p w14:paraId="29FC6B8F" w14:textId="77777777" w:rsidR="00F82901" w:rsidRPr="00F82901" w:rsidRDefault="00F82901" w:rsidP="00F82901">
            <w:pPr>
              <w:spacing w:after="120"/>
              <w:rPr>
                <w:iCs/>
                <w:color w:val="000000" w:themeColor="text1"/>
                <w:sz w:val="20"/>
                <w:szCs w:val="20"/>
                <w:lang w:val="en-US"/>
              </w:rPr>
            </w:pPr>
            <w:r w:rsidRPr="00F82901">
              <w:rPr>
                <w:iCs/>
                <w:color w:val="000000" w:themeColor="text1"/>
                <w:sz w:val="20"/>
                <w:szCs w:val="20"/>
                <w:lang w:val="en-US"/>
              </w:rPr>
              <w:t>RAN4 to discuss the need for transition requirements (</w:t>
            </w:r>
            <w:r w:rsidRPr="00F82901">
              <w:rPr>
                <w:iCs/>
                <w:color w:val="000000" w:themeColor="text1"/>
                <w:sz w:val="20"/>
                <w:szCs w:val="20"/>
              </w:rPr>
              <w:t>UE behavior and corresponding requirement for the transition between short INACTIVE eDRX (≤10.24sec) and long INACTIVE eDRX(</w:t>
            </w:r>
            <w:r w:rsidRPr="00F82901">
              <w:rPr>
                <w:iCs/>
                <w:color w:val="000000" w:themeColor="text1"/>
                <w:sz w:val="20"/>
                <w:szCs w:val="20"/>
              </w:rPr>
              <w:sym w:font="Symbol" w:char="F0B3"/>
            </w:r>
            <w:r w:rsidRPr="00F82901">
              <w:rPr>
                <w:iCs/>
                <w:color w:val="000000" w:themeColor="text1"/>
                <w:sz w:val="20"/>
                <w:szCs w:val="20"/>
              </w:rPr>
              <w:t>20.48sec)</w:t>
            </w:r>
            <w:r w:rsidRPr="00F82901">
              <w:rPr>
                <w:iCs/>
                <w:color w:val="000000" w:themeColor="text1"/>
                <w:sz w:val="20"/>
                <w:szCs w:val="20"/>
                <w:lang w:val="en-US"/>
              </w:rPr>
              <w:t xml:space="preserve">) after the INATIVE eDRX with PTW requirements are finalized. </w:t>
            </w:r>
          </w:p>
          <w:p w14:paraId="53B7212C" w14:textId="77777777" w:rsidR="00F82901" w:rsidRPr="00F82901" w:rsidRDefault="00F82901" w:rsidP="00F82901">
            <w:pPr>
              <w:spacing w:after="120"/>
              <w:rPr>
                <w:iCs/>
                <w:color w:val="000000" w:themeColor="text1"/>
                <w:sz w:val="20"/>
                <w:szCs w:val="20"/>
                <w:lang w:val="en-US"/>
              </w:rPr>
            </w:pPr>
          </w:p>
          <w:p w14:paraId="338065C2" w14:textId="77777777" w:rsidR="00F82901" w:rsidRPr="00F82901" w:rsidRDefault="00F82901" w:rsidP="00F82901">
            <w:pPr>
              <w:rPr>
                <w:rFonts w:eastAsia="SimSun"/>
                <w:b/>
                <w:color w:val="000000" w:themeColor="text1"/>
                <w:sz w:val="20"/>
                <w:szCs w:val="20"/>
                <w:u w:val="single"/>
                <w:lang w:eastAsia="ko-KR"/>
              </w:rPr>
            </w:pPr>
            <w:r w:rsidRPr="00F82901">
              <w:rPr>
                <w:b/>
                <w:color w:val="000000" w:themeColor="text1"/>
                <w:sz w:val="20"/>
                <w:szCs w:val="20"/>
                <w:u w:val="single"/>
                <w:lang w:eastAsia="ko-KR"/>
              </w:rPr>
              <w:t>CG-SDT requirements with PTW</w:t>
            </w:r>
          </w:p>
          <w:p w14:paraId="46A24AC5" w14:textId="36A5F9A0" w:rsidR="00F82901" w:rsidRPr="00F82901" w:rsidRDefault="00F82901" w:rsidP="00F82901">
            <w:pPr>
              <w:pStyle w:val="ListParagraph"/>
              <w:numPr>
                <w:ilvl w:val="1"/>
                <w:numId w:val="32"/>
              </w:numPr>
              <w:overflowPunct w:val="0"/>
              <w:autoSpaceDE w:val="0"/>
              <w:autoSpaceDN w:val="0"/>
              <w:adjustRightInd w:val="0"/>
              <w:spacing w:after="120" w:line="252" w:lineRule="auto"/>
              <w:contextualSpacing w:val="0"/>
              <w:rPr>
                <w:sz w:val="20"/>
                <w:szCs w:val="20"/>
                <w:lang w:eastAsia="ja-JP"/>
              </w:rPr>
            </w:pPr>
            <w:r w:rsidRPr="00F82901">
              <w:rPr>
                <w:iCs/>
                <w:sz w:val="20"/>
                <w:szCs w:val="20"/>
              </w:rPr>
              <w:t xml:space="preserve">FFS whether to define requirements for </w:t>
            </w:r>
            <w:r w:rsidRPr="00F82901">
              <w:rPr>
                <w:bCs/>
                <w:sz w:val="20"/>
                <w:szCs w:val="20"/>
              </w:rPr>
              <w:t>CG-SDT for Rel-18 eRedCap UE with PTW</w:t>
            </w:r>
          </w:p>
          <w:p w14:paraId="5B1B552F" w14:textId="77777777" w:rsidR="00F82901" w:rsidRPr="00F82901" w:rsidRDefault="00F82901" w:rsidP="00F82901">
            <w:pPr>
              <w:rPr>
                <w:rFonts w:eastAsia="SimSun"/>
                <w:b/>
                <w:color w:val="000000" w:themeColor="text1"/>
                <w:sz w:val="20"/>
                <w:szCs w:val="20"/>
                <w:u w:val="single"/>
                <w:lang w:eastAsia="ko-KR"/>
              </w:rPr>
            </w:pPr>
            <w:r w:rsidRPr="00F82901">
              <w:rPr>
                <w:b/>
                <w:color w:val="000000" w:themeColor="text1"/>
                <w:sz w:val="20"/>
                <w:szCs w:val="20"/>
                <w:u w:val="single"/>
                <w:lang w:eastAsia="ko-KR"/>
              </w:rPr>
              <w:t xml:space="preserve">CG-SDT requirements with PTW: RSRP2 time range </w:t>
            </w:r>
          </w:p>
          <w:p w14:paraId="429FE250" w14:textId="77777777" w:rsidR="00F82901" w:rsidRPr="00F82901" w:rsidRDefault="00F82901" w:rsidP="00F82901">
            <w:pPr>
              <w:spacing w:after="120"/>
              <w:rPr>
                <w:color w:val="000000" w:themeColor="text1"/>
                <w:sz w:val="20"/>
                <w:szCs w:val="20"/>
              </w:rPr>
            </w:pPr>
            <w:r w:rsidRPr="00F82901">
              <w:rPr>
                <w:color w:val="000000" w:themeColor="text1"/>
                <w:sz w:val="20"/>
                <w:szCs w:val="20"/>
              </w:rPr>
              <w:t>Following option is to be discussed after RAN4 has identified whether new requirements are to be specified for Rel-18 eRedCap with PTW:</w:t>
            </w:r>
          </w:p>
          <w:p w14:paraId="5505F77F" w14:textId="7349D9AE" w:rsidR="00EA429B" w:rsidRPr="00F82901" w:rsidRDefault="00F82901" w:rsidP="00F82901">
            <w:pPr>
              <w:pStyle w:val="ListParagraph"/>
              <w:numPr>
                <w:ilvl w:val="0"/>
                <w:numId w:val="34"/>
              </w:numPr>
              <w:overflowPunct w:val="0"/>
              <w:autoSpaceDE w:val="0"/>
              <w:autoSpaceDN w:val="0"/>
              <w:adjustRightInd w:val="0"/>
              <w:spacing w:after="180" w:line="240" w:lineRule="auto"/>
              <w:ind w:left="930"/>
              <w:contextualSpacing w:val="0"/>
              <w:rPr>
                <w:color w:val="000000" w:themeColor="text1"/>
                <w:szCs w:val="20"/>
                <w:lang w:val="sv-SE"/>
              </w:rPr>
            </w:pPr>
            <w:r w:rsidRPr="00F82901">
              <w:rPr>
                <w:rFonts w:cs="Arial"/>
                <w:color w:val="000000" w:themeColor="text1"/>
                <w:sz w:val="20"/>
                <w:szCs w:val="20"/>
              </w:rPr>
              <w:t xml:space="preserve">RSRP2 time range in FR1 with eDRX cycle &gt; 10.24 sec is defined as </w:t>
            </w:r>
            <w:r w:rsidRPr="00F82901">
              <w:rPr>
                <w:rFonts w:cs="Arial"/>
                <w:color w:val="000000" w:themeColor="text1"/>
                <w:sz w:val="20"/>
                <w:szCs w:val="20"/>
                <w:lang w:val="fr-FR"/>
              </w:rPr>
              <w:t>(T2 –640ms) ≤ T2’ ≤ T2.</w:t>
            </w:r>
          </w:p>
        </w:tc>
      </w:tr>
    </w:tbl>
    <w:p w14:paraId="6FA89910" w14:textId="0F49D326" w:rsidR="00085285" w:rsidRDefault="00085285" w:rsidP="001D43C9">
      <w:pPr>
        <w:jc w:val="both"/>
      </w:pPr>
    </w:p>
    <w:p w14:paraId="10F11F81" w14:textId="16377720" w:rsidR="007450CD" w:rsidRPr="007450CD" w:rsidRDefault="007450CD" w:rsidP="007450CD">
      <w:pPr>
        <w:rPr>
          <w:rFonts w:cstheme="minorHAnsi"/>
          <w:b/>
          <w:color w:val="0070C0"/>
          <w:u w:val="single"/>
          <w:lang w:eastAsia="ko-KR"/>
        </w:rPr>
      </w:pPr>
      <w:r w:rsidRPr="007450CD">
        <w:rPr>
          <w:rFonts w:cstheme="minorHAnsi"/>
          <w:b/>
          <w:color w:val="0070C0"/>
          <w:u w:val="single"/>
          <w:lang w:eastAsia="ko-KR"/>
        </w:rPr>
        <w:lastRenderedPageBreak/>
        <w:t xml:space="preserve">When configured with both IDLE and INACTIVE eDRX configurations for </w:t>
      </w:r>
      <w:r>
        <w:rPr>
          <w:rFonts w:cstheme="minorHAnsi"/>
          <w:b/>
          <w:color w:val="0070C0"/>
          <w:u w:val="single"/>
          <w:lang w:eastAsia="ko-KR"/>
        </w:rPr>
        <w:t xml:space="preserve">neighbouring </w:t>
      </w:r>
      <w:r w:rsidRPr="007450CD">
        <w:rPr>
          <w:rFonts w:cstheme="minorHAnsi"/>
          <w:b/>
          <w:color w:val="0070C0"/>
          <w:u w:val="single"/>
          <w:lang w:eastAsia="ko-KR"/>
        </w:rPr>
        <w:t>cell measurements</w:t>
      </w:r>
    </w:p>
    <w:p w14:paraId="0027D0FF" w14:textId="761F35AC" w:rsidR="007450CD" w:rsidRDefault="007450CD" w:rsidP="007450CD">
      <w:pPr>
        <w:jc w:val="both"/>
      </w:pPr>
      <w:r>
        <w:t xml:space="preserve">To our understanding, </w:t>
      </w:r>
      <w:r w:rsidR="00DD2CAD">
        <w:t>m</w:t>
      </w:r>
      <w:r w:rsidR="00DD2CAD" w:rsidRPr="00DD2CAD">
        <w:t xml:space="preserve">easurement requirements for inactivate state </w:t>
      </w:r>
      <w:r w:rsidR="000E6FED">
        <w:t xml:space="preserve">for </w:t>
      </w:r>
      <w:r w:rsidR="00DD2CAD" w:rsidRPr="00DD2CAD">
        <w:t xml:space="preserve">intra/inter frequency </w:t>
      </w:r>
      <w:r w:rsidR="00DD2CAD" w:rsidRPr="00DD2CAD">
        <w:rPr>
          <w:rFonts w:hint="eastAsia"/>
        </w:rPr>
        <w:t>Redc</w:t>
      </w:r>
      <w:r w:rsidR="00DD2CAD" w:rsidRPr="00DD2CAD">
        <w:t>ap UE are based on inactive DRX or inactive eDRX when inactive eDRX is configured</w:t>
      </w:r>
      <w:r>
        <w:t>.</w:t>
      </w:r>
      <w:r w:rsidR="000E6FED">
        <w:t xml:space="preserve"> In addition, t</w:t>
      </w:r>
      <w:r w:rsidR="000E6FED" w:rsidRPr="000E6FED">
        <w:t>he detection/measurement/evaluation delay requirements for intra-frequency/inter-frequency neighbour cells shall be specified in the step of</w:t>
      </w:r>
      <w:r w:rsidR="000E6FED">
        <w:t xml:space="preserve"> both (i) </w:t>
      </w:r>
      <w:r w:rsidR="000E6FED" w:rsidRPr="000E6FED">
        <w:t>INACTIVE eDRX cycle, if the eDRX_Inactive=2.56/5.12/10.24sec</w:t>
      </w:r>
      <w:r w:rsidR="000E6FED">
        <w:t xml:space="preserve"> and (ii) </w:t>
      </w:r>
      <w:r w:rsidR="000E6FED" w:rsidRPr="000E6FED">
        <w:t xml:space="preserve">eDRX_Inactive </w:t>
      </w:r>
      <w:r w:rsidR="000E6FED" w:rsidRPr="000E6FED">
        <w:sym w:font="Symbol" w:char="F0B3"/>
      </w:r>
      <w:r w:rsidR="000E6FED" w:rsidRPr="000E6FED">
        <w:t xml:space="preserve"> 20.48sec</w:t>
      </w:r>
      <w:r w:rsidR="000E6FED">
        <w:t>.</w:t>
      </w:r>
    </w:p>
    <w:p w14:paraId="1289837B" w14:textId="6FAE9365" w:rsidR="007450CD" w:rsidRPr="007804B0" w:rsidRDefault="004F4665" w:rsidP="007450CD">
      <w:pPr>
        <w:pStyle w:val="ListParagraph"/>
        <w:numPr>
          <w:ilvl w:val="0"/>
          <w:numId w:val="5"/>
        </w:numPr>
        <w:spacing w:after="180"/>
        <w:contextualSpacing w:val="0"/>
        <w:jc w:val="both"/>
        <w:rPr>
          <w:rFonts w:ascii="Times New Roman" w:hAnsi="Times New Roman" w:cs="Times New Roman"/>
          <w:sz w:val="20"/>
          <w:szCs w:val="20"/>
        </w:rPr>
      </w:pPr>
      <w:bookmarkStart w:id="3" w:name="_Ref131860474"/>
      <w:r>
        <w:rPr>
          <w:rFonts w:cstheme="minorHAnsi"/>
          <w:b/>
          <w:lang w:eastAsia="ko-KR"/>
        </w:rPr>
        <w:t>T</w:t>
      </w:r>
      <w:r w:rsidR="00E8499F" w:rsidRPr="00E8499F">
        <w:rPr>
          <w:rFonts w:cstheme="minorHAnsi"/>
          <w:b/>
          <w:lang w:eastAsia="ko-KR"/>
        </w:rPr>
        <w:t xml:space="preserve">he detection/measurement/evaluation delay requirements for intra-frequency/inter-frequency neighbour cells shall be specified in the step of both (i) INACTIVE eDRX cycle, if the eDRX_Inactive=2.56/5.12/10.24sec and (ii) eDRX_Inactive </w:t>
      </w:r>
      <w:r w:rsidR="00E8499F" w:rsidRPr="00E8499F">
        <w:rPr>
          <w:rFonts w:cstheme="minorHAnsi"/>
          <w:b/>
          <w:lang w:eastAsia="ko-KR"/>
        </w:rPr>
        <w:sym w:font="Symbol" w:char="F0B3"/>
      </w:r>
      <w:r w:rsidR="00E8499F" w:rsidRPr="00E8499F">
        <w:rPr>
          <w:rFonts w:cstheme="minorHAnsi"/>
          <w:b/>
          <w:lang w:eastAsia="ko-KR"/>
        </w:rPr>
        <w:t xml:space="preserve"> 20.48sec</w:t>
      </w:r>
      <w:r w:rsidR="007450CD" w:rsidRPr="007804B0">
        <w:rPr>
          <w:rFonts w:cstheme="minorHAnsi"/>
          <w:b/>
          <w:lang w:eastAsia="ko-KR"/>
        </w:rPr>
        <w:t>.</w:t>
      </w:r>
      <w:bookmarkEnd w:id="3"/>
    </w:p>
    <w:p w14:paraId="54A4BABE" w14:textId="0DA42799" w:rsidR="007450CD" w:rsidRPr="007450CD" w:rsidRDefault="007450CD" w:rsidP="007450CD">
      <w:pPr>
        <w:rPr>
          <w:rFonts w:eastAsia="SimSun" w:cstheme="minorHAnsi"/>
          <w:b/>
          <w:color w:val="0070C0"/>
          <w:szCs w:val="24"/>
          <w:u w:val="single"/>
          <w:lang w:eastAsia="ko-KR"/>
        </w:rPr>
      </w:pPr>
      <w:r w:rsidRPr="007450CD">
        <w:rPr>
          <w:rFonts w:cstheme="minorHAnsi"/>
          <w:b/>
          <w:color w:val="0070C0"/>
          <w:u w:val="single"/>
          <w:lang w:eastAsia="ko-KR"/>
        </w:rPr>
        <w:t>CG-SDT requirements with PTW</w:t>
      </w:r>
      <w:r w:rsidR="00D672C2">
        <w:rPr>
          <w:rFonts w:cstheme="minorHAnsi"/>
          <w:b/>
          <w:color w:val="0070C0"/>
          <w:u w:val="single"/>
          <w:lang w:eastAsia="ko-KR"/>
        </w:rPr>
        <w:t xml:space="preserve"> and </w:t>
      </w:r>
      <w:r w:rsidR="00D672C2" w:rsidRPr="00D672C2">
        <w:rPr>
          <w:rFonts w:cstheme="minorHAnsi"/>
          <w:b/>
          <w:color w:val="0070C0"/>
          <w:u w:val="single"/>
          <w:lang w:eastAsia="ko-KR"/>
        </w:rPr>
        <w:t>CG-SDT requirements with PTW: RSRP2 time range</w:t>
      </w:r>
    </w:p>
    <w:p w14:paraId="4E9CEF47" w14:textId="6DB63B35" w:rsidR="007450CD" w:rsidRDefault="007450CD" w:rsidP="007450CD">
      <w:pPr>
        <w:jc w:val="both"/>
      </w:pPr>
      <w:r>
        <w:t xml:space="preserve">The eDRX cycle &gt;10.24 can go up to approximately 2.9 hours, while CG-SDT may require much faster transmission/reception. </w:t>
      </w:r>
      <w:r w:rsidR="00332B5E">
        <w:t xml:space="preserve">It is not clear to us how the UE can achieve to measure for RSRP1 and RSRP2 in the same PTW. Besides, if RSRP1 and RSRP2 are measured with time difference up to 2.9 hours then it is unlikely they will be matching the same configuration. </w:t>
      </w:r>
      <w:r>
        <w:t xml:space="preserve">Hence, </w:t>
      </w:r>
      <w:r w:rsidR="00332B5E">
        <w:t>more discussion is needed to understand the UE procedure to perform RSRP2</w:t>
      </w:r>
      <w:r>
        <w:t xml:space="preserve"> before defining the requirements.</w:t>
      </w:r>
    </w:p>
    <w:p w14:paraId="37DFE2A3" w14:textId="37C16A51" w:rsidR="00EA429B" w:rsidRPr="001B4C44" w:rsidRDefault="00332B5E" w:rsidP="00EA429B">
      <w:pPr>
        <w:pStyle w:val="ListParagraph"/>
        <w:numPr>
          <w:ilvl w:val="0"/>
          <w:numId w:val="5"/>
        </w:numPr>
        <w:spacing w:after="180"/>
        <w:contextualSpacing w:val="0"/>
        <w:jc w:val="both"/>
        <w:rPr>
          <w:rFonts w:ascii="Times New Roman" w:hAnsi="Times New Roman" w:cs="Times New Roman"/>
          <w:sz w:val="20"/>
          <w:szCs w:val="20"/>
        </w:rPr>
      </w:pPr>
      <w:bookmarkStart w:id="4" w:name="_Ref131860504"/>
      <w:r>
        <w:rPr>
          <w:rFonts w:cstheme="minorHAnsi"/>
          <w:b/>
          <w:lang w:eastAsia="ko-KR"/>
        </w:rPr>
        <w:t>More discussion is needed in RAN4 on how to achieve RSRP1 and RSRP2 within long eDRX cycle with PTW</w:t>
      </w:r>
      <w:r w:rsidR="007450CD" w:rsidRPr="007804B0">
        <w:rPr>
          <w:rFonts w:cstheme="minorHAnsi"/>
          <w:b/>
          <w:lang w:eastAsia="ko-KR"/>
        </w:rPr>
        <w:t>.</w:t>
      </w:r>
      <w:bookmarkEnd w:id="4"/>
    </w:p>
    <w:p w14:paraId="23065C8F" w14:textId="30B2B188" w:rsidR="00EA429B" w:rsidRDefault="00EA429B" w:rsidP="00EA429B">
      <w:pPr>
        <w:pStyle w:val="Heading2"/>
        <w:numPr>
          <w:ilvl w:val="1"/>
          <w:numId w:val="1"/>
        </w:numPr>
        <w:rPr>
          <w:rFonts w:cs="Arial"/>
        </w:rPr>
      </w:pPr>
      <w:r>
        <w:rPr>
          <w:rFonts w:cs="Arial"/>
        </w:rPr>
        <w:t xml:space="preserve">Discussion on baseband reduction </w:t>
      </w:r>
    </w:p>
    <w:p w14:paraId="71208EAF" w14:textId="77777777" w:rsidR="00EA429B" w:rsidRDefault="00EA429B" w:rsidP="00EA429B">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15D3333C" w14:textId="77777777" w:rsidTr="006039BE">
        <w:tc>
          <w:tcPr>
            <w:tcW w:w="9629" w:type="dxa"/>
          </w:tcPr>
          <w:p w14:paraId="4EF99DB9" w14:textId="77777777" w:rsidR="00372590" w:rsidRPr="00F82901" w:rsidRDefault="00372590" w:rsidP="00372590">
            <w:pPr>
              <w:pStyle w:val="Heading3"/>
              <w:numPr>
                <w:ilvl w:val="0"/>
                <w:numId w:val="0"/>
              </w:numPr>
              <w:ind w:left="720" w:hanging="720"/>
              <w:rPr>
                <w:rFonts w:asciiTheme="minorHAnsi" w:eastAsia="SimSun" w:hAnsiTheme="minorHAnsi" w:cstheme="minorHAnsi"/>
                <w:b/>
                <w:bCs/>
                <w:sz w:val="20"/>
              </w:rPr>
            </w:pPr>
            <w:r w:rsidRPr="00F82901">
              <w:rPr>
                <w:rFonts w:asciiTheme="minorHAnsi" w:eastAsia="SimSun" w:hAnsiTheme="minorHAnsi" w:cstheme="minorHAnsi"/>
                <w:b/>
                <w:bCs/>
                <w:sz w:val="20"/>
              </w:rPr>
              <w:t>RRM impact due to baseband reduction</w:t>
            </w:r>
          </w:p>
          <w:p w14:paraId="08B1E775" w14:textId="38DE29B3" w:rsidR="00F82901" w:rsidRPr="00F82901" w:rsidRDefault="00F82901" w:rsidP="00F82901">
            <w:pPr>
              <w:rPr>
                <w:rFonts w:ascii="Times New Roman" w:eastAsia="SimSun" w:hAnsi="Times New Roman" w:cs="Times New Roman"/>
                <w:b/>
                <w:color w:val="000000" w:themeColor="text1"/>
                <w:sz w:val="20"/>
                <w:szCs w:val="20"/>
                <w:u w:val="single"/>
                <w:lang w:eastAsia="ko-KR"/>
              </w:rPr>
            </w:pPr>
            <w:r w:rsidRPr="00F82901">
              <w:rPr>
                <w:b/>
                <w:color w:val="000000" w:themeColor="text1"/>
                <w:sz w:val="20"/>
                <w:szCs w:val="20"/>
                <w:u w:val="single"/>
                <w:lang w:eastAsia="ko-KR"/>
              </w:rPr>
              <w:t>Impact on CGI reading requirements</w:t>
            </w:r>
          </w:p>
          <w:p w14:paraId="2C0925B5" w14:textId="77777777" w:rsidR="00F82901" w:rsidRPr="00F82901" w:rsidRDefault="00F82901" w:rsidP="00F82901">
            <w:pPr>
              <w:pStyle w:val="ListParagraph"/>
              <w:numPr>
                <w:ilvl w:val="0"/>
                <w:numId w:val="32"/>
              </w:numPr>
              <w:overflowPunct w:val="0"/>
              <w:autoSpaceDE w:val="0"/>
              <w:autoSpaceDN w:val="0"/>
              <w:adjustRightInd w:val="0"/>
              <w:spacing w:after="120" w:line="252" w:lineRule="auto"/>
              <w:contextualSpacing w:val="0"/>
              <w:rPr>
                <w:sz w:val="20"/>
                <w:szCs w:val="20"/>
                <w:lang w:eastAsia="ja-JP"/>
              </w:rPr>
            </w:pPr>
            <w:r w:rsidRPr="00F82901">
              <w:rPr>
                <w:sz w:val="20"/>
                <w:szCs w:val="20"/>
                <w:lang w:eastAsia="ja-JP"/>
              </w:rPr>
              <w:t xml:space="preserve">FFS whether to define </w:t>
            </w:r>
            <w:r w:rsidRPr="00F82901">
              <w:rPr>
                <w:sz w:val="20"/>
                <w:szCs w:val="20"/>
                <w:lang w:eastAsia="ko-KR"/>
              </w:rPr>
              <w:t>CGI reading requirements for Rel-18 eRedCap UEs</w:t>
            </w:r>
          </w:p>
          <w:p w14:paraId="75F85F0D" w14:textId="77777777" w:rsidR="00F82901" w:rsidRPr="00F82901" w:rsidRDefault="00F82901" w:rsidP="00F82901">
            <w:pPr>
              <w:pStyle w:val="ListParagraph"/>
              <w:numPr>
                <w:ilvl w:val="0"/>
                <w:numId w:val="32"/>
              </w:numPr>
              <w:overflowPunct w:val="0"/>
              <w:autoSpaceDE w:val="0"/>
              <w:autoSpaceDN w:val="0"/>
              <w:adjustRightInd w:val="0"/>
              <w:spacing w:after="120" w:line="252" w:lineRule="auto"/>
              <w:contextualSpacing w:val="0"/>
              <w:rPr>
                <w:sz w:val="20"/>
                <w:szCs w:val="20"/>
                <w:lang w:eastAsia="ja-JP"/>
              </w:rPr>
            </w:pPr>
            <w:r w:rsidRPr="00F82901">
              <w:rPr>
                <w:sz w:val="20"/>
                <w:szCs w:val="20"/>
                <w:lang w:eastAsia="ja-JP"/>
              </w:rPr>
              <w:t xml:space="preserve">If </w:t>
            </w:r>
            <w:r w:rsidRPr="00F82901">
              <w:rPr>
                <w:sz w:val="20"/>
                <w:szCs w:val="20"/>
                <w:lang w:eastAsia="ko-KR"/>
              </w:rPr>
              <w:t>CGI reading requirements for Rel-18 eRedCap UEs are introduced</w:t>
            </w:r>
          </w:p>
          <w:p w14:paraId="54636ECE" w14:textId="77777777" w:rsidR="00F82901" w:rsidRPr="00F82901" w:rsidRDefault="00F82901" w:rsidP="00F82901">
            <w:pPr>
              <w:pStyle w:val="ListParagraph"/>
              <w:numPr>
                <w:ilvl w:val="1"/>
                <w:numId w:val="32"/>
              </w:numPr>
              <w:overflowPunct w:val="0"/>
              <w:autoSpaceDE w:val="0"/>
              <w:autoSpaceDN w:val="0"/>
              <w:adjustRightInd w:val="0"/>
              <w:spacing w:after="120" w:line="252" w:lineRule="auto"/>
              <w:contextualSpacing w:val="0"/>
              <w:rPr>
                <w:sz w:val="20"/>
                <w:szCs w:val="20"/>
                <w:lang w:eastAsia="ja-JP"/>
              </w:rPr>
            </w:pPr>
            <w:r w:rsidRPr="00F82901">
              <w:rPr>
                <w:color w:val="000000" w:themeColor="text1"/>
                <w:sz w:val="20"/>
                <w:szCs w:val="20"/>
              </w:rPr>
              <w:t>If SIB1 is scheduled within 5MHz BW</w:t>
            </w:r>
          </w:p>
          <w:p w14:paraId="059EC30F" w14:textId="77777777" w:rsidR="00F82901" w:rsidRPr="00F82901" w:rsidRDefault="00F82901" w:rsidP="00F82901">
            <w:pPr>
              <w:pStyle w:val="ListParagraph"/>
              <w:numPr>
                <w:ilvl w:val="2"/>
                <w:numId w:val="32"/>
              </w:numPr>
              <w:overflowPunct w:val="0"/>
              <w:autoSpaceDE w:val="0"/>
              <w:autoSpaceDN w:val="0"/>
              <w:adjustRightInd w:val="0"/>
              <w:spacing w:after="120" w:line="252" w:lineRule="auto"/>
              <w:contextualSpacing w:val="0"/>
              <w:rPr>
                <w:sz w:val="20"/>
                <w:szCs w:val="20"/>
                <w:lang w:eastAsia="ja-JP"/>
              </w:rPr>
            </w:pPr>
            <w:r w:rsidRPr="00F82901">
              <w:rPr>
                <w:color w:val="000000" w:themeColor="text1"/>
                <w:sz w:val="20"/>
                <w:szCs w:val="20"/>
              </w:rPr>
              <w:t xml:space="preserve">Reuse existing requirements for SIB1 reading for the case </w:t>
            </w:r>
          </w:p>
          <w:p w14:paraId="4544EDF7" w14:textId="4AD3C29F" w:rsidR="00F82901" w:rsidRPr="00F82901" w:rsidRDefault="00F82901" w:rsidP="00F82901">
            <w:pPr>
              <w:pStyle w:val="ListParagraph"/>
              <w:numPr>
                <w:ilvl w:val="1"/>
                <w:numId w:val="32"/>
              </w:numPr>
              <w:overflowPunct w:val="0"/>
              <w:autoSpaceDE w:val="0"/>
              <w:autoSpaceDN w:val="0"/>
              <w:adjustRightInd w:val="0"/>
              <w:spacing w:after="120" w:line="252" w:lineRule="auto"/>
              <w:contextualSpacing w:val="0"/>
              <w:rPr>
                <w:sz w:val="20"/>
                <w:szCs w:val="20"/>
                <w:lang w:eastAsia="ja-JP"/>
              </w:rPr>
            </w:pPr>
            <w:r w:rsidRPr="00F82901">
              <w:rPr>
                <w:color w:val="000000" w:themeColor="text1"/>
                <w:sz w:val="20"/>
                <w:szCs w:val="20"/>
              </w:rPr>
              <w:t>FFS for the requirements for the case of SIB1 scheduled with BW &gt; 5MHz</w:t>
            </w:r>
          </w:p>
          <w:p w14:paraId="006A0423"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 xml:space="preserve">Impact on paging requirements </w:t>
            </w:r>
          </w:p>
          <w:p w14:paraId="2CC7CDB8" w14:textId="28ABEDE5" w:rsidR="00F82901" w:rsidRPr="00F82901" w:rsidRDefault="00F82901" w:rsidP="00F82901">
            <w:pPr>
              <w:rPr>
                <w:i/>
                <w:color w:val="000000" w:themeColor="text1"/>
                <w:sz w:val="20"/>
                <w:szCs w:val="20"/>
                <w:lang w:val="en-US"/>
              </w:rPr>
            </w:pPr>
            <w:r w:rsidRPr="00F82901">
              <w:rPr>
                <w:color w:val="000000" w:themeColor="text1"/>
                <w:sz w:val="20"/>
                <w:szCs w:val="20"/>
              </w:rPr>
              <w:t>No impact on paging reception requirements due to baseband BW reduction.</w:t>
            </w:r>
          </w:p>
          <w:p w14:paraId="082BDF8B" w14:textId="77777777" w:rsidR="00F82901" w:rsidRPr="00F82901" w:rsidRDefault="00F82901" w:rsidP="00F82901">
            <w:pPr>
              <w:rPr>
                <w:b/>
                <w:color w:val="000000" w:themeColor="text1"/>
                <w:sz w:val="20"/>
                <w:szCs w:val="20"/>
                <w:u w:val="single"/>
                <w:lang w:eastAsia="ko-KR"/>
              </w:rPr>
            </w:pPr>
            <w:r w:rsidRPr="00F82901">
              <w:rPr>
                <w:b/>
                <w:color w:val="000000" w:themeColor="text1"/>
                <w:sz w:val="20"/>
                <w:szCs w:val="20"/>
                <w:u w:val="single"/>
                <w:lang w:eastAsia="ko-KR"/>
              </w:rPr>
              <w:t>Impact on T</w:t>
            </w:r>
            <w:r w:rsidRPr="00F82901">
              <w:rPr>
                <w:b/>
                <w:color w:val="000000" w:themeColor="text1"/>
                <w:sz w:val="20"/>
                <w:szCs w:val="20"/>
                <w:u w:val="single"/>
                <w:vertAlign w:val="subscript"/>
                <w:lang w:eastAsia="ko-KR"/>
              </w:rPr>
              <w:t>HARQ</w:t>
            </w:r>
          </w:p>
          <w:p w14:paraId="090EBF72" w14:textId="5850A3E2" w:rsidR="00EA429B" w:rsidRPr="00F82901" w:rsidRDefault="00F82901" w:rsidP="00F82901">
            <w:pPr>
              <w:spacing w:after="120"/>
              <w:rPr>
                <w:color w:val="000000" w:themeColor="text1"/>
                <w:szCs w:val="24"/>
              </w:rPr>
            </w:pPr>
            <w:r w:rsidRPr="00F82901">
              <w:rPr>
                <w:color w:val="000000" w:themeColor="text1"/>
                <w:sz w:val="20"/>
                <w:szCs w:val="20"/>
              </w:rPr>
              <w:t>T</w:t>
            </w:r>
            <w:r w:rsidRPr="00F82901">
              <w:rPr>
                <w:color w:val="000000" w:themeColor="text1"/>
                <w:sz w:val="20"/>
                <w:szCs w:val="20"/>
                <w:lang w:val="en-US"/>
              </w:rPr>
              <w:t>here is not any impact on T</w:t>
            </w:r>
            <w:r w:rsidRPr="00F82901">
              <w:rPr>
                <w:color w:val="000000" w:themeColor="text1"/>
                <w:sz w:val="20"/>
                <w:szCs w:val="20"/>
                <w:vertAlign w:val="subscript"/>
                <w:lang w:val="en-US"/>
              </w:rPr>
              <w:t xml:space="preserve">HARQ </w:t>
            </w:r>
            <w:r w:rsidRPr="00F82901">
              <w:rPr>
                <w:color w:val="000000" w:themeColor="text1"/>
                <w:sz w:val="20"/>
                <w:szCs w:val="20"/>
              </w:rPr>
              <w:t>due to baseband BW reduction.</w:t>
            </w:r>
          </w:p>
        </w:tc>
      </w:tr>
    </w:tbl>
    <w:p w14:paraId="33B4AEA7" w14:textId="77777777" w:rsidR="008E22C4" w:rsidRPr="008E22C4" w:rsidRDefault="008E22C4" w:rsidP="008E22C4">
      <w:pPr>
        <w:jc w:val="both"/>
        <w:rPr>
          <w:rFonts w:cstheme="minorHAnsi"/>
          <w:b/>
          <w:color w:val="0070C0"/>
          <w:u w:val="single"/>
          <w:lang w:eastAsia="ko-KR"/>
        </w:rPr>
      </w:pPr>
      <w:r w:rsidRPr="008E22C4">
        <w:rPr>
          <w:rFonts w:cstheme="minorHAnsi"/>
          <w:b/>
          <w:color w:val="0070C0"/>
          <w:u w:val="single"/>
          <w:lang w:eastAsia="ko-KR"/>
        </w:rPr>
        <w:t>RRM impact of baseband BW reduction in FR1</w:t>
      </w:r>
    </w:p>
    <w:p w14:paraId="6DC46E12" w14:textId="312C71C4" w:rsidR="008E22C4" w:rsidRDefault="008E22C4" w:rsidP="008E22C4">
      <w:pPr>
        <w:jc w:val="both"/>
      </w:pPr>
      <w:r>
        <w:t xml:space="preserve">For SIB1 reading: </w:t>
      </w:r>
      <w:r w:rsidR="00FC6AF7">
        <w:t>The RRM requirements define the number of samples needed to read SIB1, which is based on threshold SINR, however, the RRM requirements don’t define how much time is needed to process the SIB1 reading</w:t>
      </w:r>
      <w:r>
        <w:t>.</w:t>
      </w:r>
      <w:r w:rsidR="00FC6AF7">
        <w:t xml:space="preserve"> For RedCap rel-18, the reception bandwidth can be kept as original bandwidth and hence there is no impact on the reception of SIB1 samples, however, the baseband processing bandwidth is smaller than </w:t>
      </w:r>
      <w:r w:rsidR="00A044D9">
        <w:t xml:space="preserve">normal NR UE, thus perhaps the processing time for SIB1 may take longer compared to existing NR UE. However, this processing time duration is not captured in RRM requirements in TS 38.133. Thus, RAN4 RRM doesn’t need to define further requirements. </w:t>
      </w:r>
    </w:p>
    <w:p w14:paraId="11154AD7" w14:textId="7CA03516" w:rsidR="00F906A5" w:rsidRPr="00F906A5" w:rsidRDefault="00F906A5" w:rsidP="008E22C4">
      <w:pPr>
        <w:jc w:val="both"/>
        <w:rPr>
          <w:b/>
          <w:bCs/>
        </w:rPr>
      </w:pPr>
      <w:r w:rsidRPr="00F906A5">
        <w:rPr>
          <w:b/>
          <w:bCs/>
        </w:rPr>
        <w:lastRenderedPageBreak/>
        <w:t xml:space="preserve">Observation: </w:t>
      </w:r>
      <w:r>
        <w:rPr>
          <w:b/>
          <w:bCs/>
        </w:rPr>
        <w:t>The</w:t>
      </w:r>
      <w:r w:rsidRPr="00F906A5">
        <w:rPr>
          <w:b/>
          <w:bCs/>
        </w:rPr>
        <w:t xml:space="preserve"> processing time duration</w:t>
      </w:r>
      <w:r>
        <w:rPr>
          <w:b/>
          <w:bCs/>
        </w:rPr>
        <w:t xml:space="preserve"> for SIB1</w:t>
      </w:r>
      <w:r w:rsidRPr="00F906A5">
        <w:rPr>
          <w:b/>
          <w:bCs/>
        </w:rPr>
        <w:t xml:space="preserve"> is not captured in RRM requirements in TS 38.133.</w:t>
      </w:r>
    </w:p>
    <w:p w14:paraId="3470519D" w14:textId="6347634C" w:rsidR="00821AF5" w:rsidRPr="00672104" w:rsidRDefault="008E22C4" w:rsidP="00821AF5">
      <w:pPr>
        <w:pStyle w:val="ListParagraph"/>
        <w:numPr>
          <w:ilvl w:val="0"/>
          <w:numId w:val="5"/>
        </w:numPr>
        <w:spacing w:after="180"/>
        <w:contextualSpacing w:val="0"/>
        <w:jc w:val="both"/>
        <w:rPr>
          <w:rFonts w:ascii="Times New Roman" w:hAnsi="Times New Roman" w:cs="Times New Roman"/>
          <w:sz w:val="20"/>
          <w:szCs w:val="20"/>
        </w:rPr>
      </w:pPr>
      <w:bookmarkStart w:id="5" w:name="_Ref131860524"/>
      <w:r>
        <w:rPr>
          <w:rFonts w:cstheme="minorHAnsi"/>
          <w:b/>
          <w:lang w:eastAsia="ko-KR"/>
        </w:rPr>
        <w:t>RAN4 s</w:t>
      </w:r>
      <w:r w:rsidR="00A044D9">
        <w:rPr>
          <w:rFonts w:cstheme="minorHAnsi"/>
          <w:b/>
          <w:lang w:eastAsia="ko-KR"/>
        </w:rPr>
        <w:t>hall reuse existing requirements for SIB1</w:t>
      </w:r>
      <w:r w:rsidR="00F82901">
        <w:rPr>
          <w:rFonts w:cstheme="minorHAnsi"/>
          <w:b/>
          <w:lang w:eastAsia="ko-KR"/>
        </w:rPr>
        <w:t xml:space="preserve"> (CGI)</w:t>
      </w:r>
      <w:r w:rsidR="00A044D9">
        <w:rPr>
          <w:rFonts w:cstheme="minorHAnsi"/>
          <w:b/>
          <w:lang w:eastAsia="ko-KR"/>
        </w:rPr>
        <w:t xml:space="preserve"> reading</w:t>
      </w:r>
      <w:r w:rsidRPr="007804B0">
        <w:rPr>
          <w:rFonts w:cstheme="minorHAnsi"/>
          <w:b/>
          <w:lang w:eastAsia="ko-KR"/>
        </w:rPr>
        <w:t>.</w:t>
      </w:r>
      <w:bookmarkEnd w:id="5"/>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6" w:name="_Ref92572437"/>
    </w:p>
    <w:p w14:paraId="24F60957" w14:textId="31683A20" w:rsidR="00EA3B48" w:rsidRDefault="00EA3B48" w:rsidP="00D636E8">
      <w:pPr>
        <w:jc w:val="both"/>
        <w:rPr>
          <w:b/>
          <w:bCs/>
        </w:rPr>
      </w:pPr>
      <w:r>
        <w:rPr>
          <w:b/>
          <w:bCs/>
        </w:rPr>
        <w:fldChar w:fldCharType="begin"/>
      </w:r>
      <w:r>
        <w:rPr>
          <w:b/>
          <w:bCs/>
        </w:rPr>
        <w:instrText xml:space="preserve"> REF _Ref131860474 \r \h </w:instrText>
      </w:r>
      <w:r>
        <w:rPr>
          <w:b/>
          <w:bCs/>
        </w:rPr>
      </w:r>
      <w:r>
        <w:rPr>
          <w:b/>
          <w:bCs/>
        </w:rPr>
        <w:fldChar w:fldCharType="separate"/>
      </w:r>
      <w:r w:rsidR="00672104">
        <w:rPr>
          <w:b/>
          <w:bCs/>
        </w:rPr>
        <w:t>Proposal 1:</w:t>
      </w:r>
      <w:r>
        <w:rPr>
          <w:b/>
          <w:bCs/>
        </w:rPr>
        <w:fldChar w:fldCharType="end"/>
      </w:r>
      <w:r>
        <w:rPr>
          <w:b/>
          <w:bCs/>
        </w:rPr>
        <w:t xml:space="preserve"> </w:t>
      </w:r>
      <w:r>
        <w:rPr>
          <w:b/>
          <w:bCs/>
        </w:rPr>
        <w:fldChar w:fldCharType="begin"/>
      </w:r>
      <w:r>
        <w:rPr>
          <w:b/>
          <w:bCs/>
        </w:rPr>
        <w:instrText xml:space="preserve"> REF _Ref131860474 \h </w:instrText>
      </w:r>
      <w:r>
        <w:rPr>
          <w:b/>
          <w:bCs/>
        </w:rPr>
      </w:r>
      <w:r>
        <w:rPr>
          <w:b/>
          <w:bCs/>
        </w:rPr>
        <w:fldChar w:fldCharType="separate"/>
      </w:r>
      <w:r w:rsidR="00672104">
        <w:rPr>
          <w:rFonts w:cstheme="minorHAnsi"/>
          <w:b/>
          <w:lang w:eastAsia="ko-KR"/>
        </w:rPr>
        <w:t>T</w:t>
      </w:r>
      <w:r w:rsidR="00672104" w:rsidRPr="00E8499F">
        <w:rPr>
          <w:rFonts w:cstheme="minorHAnsi"/>
          <w:b/>
          <w:lang w:eastAsia="ko-KR"/>
        </w:rPr>
        <w:t xml:space="preserve">he detection/measurement/evaluation delay requirements for intra-frequency/inter-frequency neighbour cells shall be specified in the step of both (i) INACTIVE eDRX cycle, if the eDRX_Inactive=2.56/5.12/10.24sec and (ii) eDRX_Inactive </w:t>
      </w:r>
      <w:r w:rsidR="00672104" w:rsidRPr="00E8499F">
        <w:rPr>
          <w:rFonts w:cstheme="minorHAnsi"/>
          <w:b/>
          <w:lang w:eastAsia="ko-KR"/>
        </w:rPr>
        <w:sym w:font="Symbol" w:char="F0B3"/>
      </w:r>
      <w:r w:rsidR="00672104" w:rsidRPr="00E8499F">
        <w:rPr>
          <w:rFonts w:cstheme="minorHAnsi"/>
          <w:b/>
          <w:lang w:eastAsia="ko-KR"/>
        </w:rPr>
        <w:t xml:space="preserve"> 20.48sec</w:t>
      </w:r>
      <w:r w:rsidR="00672104" w:rsidRPr="007804B0">
        <w:rPr>
          <w:rFonts w:cstheme="minorHAnsi"/>
          <w:b/>
          <w:lang w:eastAsia="ko-KR"/>
        </w:rPr>
        <w:t>.</w:t>
      </w:r>
      <w:r>
        <w:rPr>
          <w:b/>
          <w:bCs/>
        </w:rPr>
        <w:fldChar w:fldCharType="end"/>
      </w:r>
    </w:p>
    <w:p w14:paraId="4E5829CB" w14:textId="5EC27212" w:rsidR="00EA3B48" w:rsidRDefault="00EA3B48" w:rsidP="00D636E8">
      <w:pPr>
        <w:jc w:val="both"/>
        <w:rPr>
          <w:b/>
          <w:bCs/>
        </w:rPr>
      </w:pPr>
      <w:r>
        <w:rPr>
          <w:b/>
          <w:bCs/>
        </w:rPr>
        <w:fldChar w:fldCharType="begin"/>
      </w:r>
      <w:r>
        <w:rPr>
          <w:b/>
          <w:bCs/>
        </w:rPr>
        <w:instrText xml:space="preserve"> REF _Ref131860504 \r \h </w:instrText>
      </w:r>
      <w:r>
        <w:rPr>
          <w:b/>
          <w:bCs/>
        </w:rPr>
      </w:r>
      <w:r>
        <w:rPr>
          <w:b/>
          <w:bCs/>
        </w:rPr>
        <w:fldChar w:fldCharType="separate"/>
      </w:r>
      <w:r w:rsidR="00672104">
        <w:rPr>
          <w:b/>
          <w:bCs/>
        </w:rPr>
        <w:t>Proposal 2:</w:t>
      </w:r>
      <w:r>
        <w:rPr>
          <w:b/>
          <w:bCs/>
        </w:rPr>
        <w:fldChar w:fldCharType="end"/>
      </w:r>
      <w:r>
        <w:rPr>
          <w:b/>
          <w:bCs/>
        </w:rPr>
        <w:t xml:space="preserve"> </w:t>
      </w:r>
      <w:r>
        <w:rPr>
          <w:b/>
          <w:bCs/>
        </w:rPr>
        <w:fldChar w:fldCharType="begin"/>
      </w:r>
      <w:r>
        <w:rPr>
          <w:b/>
          <w:bCs/>
        </w:rPr>
        <w:instrText xml:space="preserve"> REF _Ref131860504 \h </w:instrText>
      </w:r>
      <w:r>
        <w:rPr>
          <w:b/>
          <w:bCs/>
        </w:rPr>
      </w:r>
      <w:r>
        <w:rPr>
          <w:b/>
          <w:bCs/>
        </w:rPr>
        <w:fldChar w:fldCharType="separate"/>
      </w:r>
      <w:r w:rsidR="00672104">
        <w:rPr>
          <w:rFonts w:cstheme="minorHAnsi"/>
          <w:b/>
          <w:lang w:eastAsia="ko-KR"/>
        </w:rPr>
        <w:t>More discussion is needed in RAN4 on how to achieve RSRP1 and RSRP2 within long eDRX cycle with PTW</w:t>
      </w:r>
      <w:r w:rsidR="00672104" w:rsidRPr="007804B0">
        <w:rPr>
          <w:rFonts w:cstheme="minorHAnsi"/>
          <w:b/>
          <w:lang w:eastAsia="ko-KR"/>
        </w:rPr>
        <w:t>.</w:t>
      </w:r>
      <w:r>
        <w:rPr>
          <w:b/>
          <w:bCs/>
        </w:rPr>
        <w:fldChar w:fldCharType="end"/>
      </w:r>
    </w:p>
    <w:p w14:paraId="11C48D3C" w14:textId="789FF3A4" w:rsidR="00EA3B48" w:rsidRDefault="00EA3B48" w:rsidP="00D636E8">
      <w:pPr>
        <w:jc w:val="both"/>
        <w:rPr>
          <w:b/>
          <w:bCs/>
        </w:rPr>
      </w:pPr>
      <w:r>
        <w:rPr>
          <w:b/>
          <w:bCs/>
        </w:rPr>
        <w:fldChar w:fldCharType="begin"/>
      </w:r>
      <w:r>
        <w:rPr>
          <w:b/>
          <w:bCs/>
        </w:rPr>
        <w:instrText xml:space="preserve"> REF _Ref131860524 \r \h </w:instrText>
      </w:r>
      <w:r>
        <w:rPr>
          <w:b/>
          <w:bCs/>
        </w:rPr>
      </w:r>
      <w:r>
        <w:rPr>
          <w:b/>
          <w:bCs/>
        </w:rPr>
        <w:fldChar w:fldCharType="separate"/>
      </w:r>
      <w:r w:rsidR="00672104">
        <w:rPr>
          <w:b/>
          <w:bCs/>
        </w:rPr>
        <w:t>Proposal 3:</w:t>
      </w:r>
      <w:r>
        <w:rPr>
          <w:b/>
          <w:bCs/>
        </w:rPr>
        <w:fldChar w:fldCharType="end"/>
      </w:r>
      <w:r>
        <w:rPr>
          <w:b/>
          <w:bCs/>
        </w:rPr>
        <w:t xml:space="preserve"> </w:t>
      </w:r>
      <w:r>
        <w:rPr>
          <w:b/>
          <w:bCs/>
        </w:rPr>
        <w:fldChar w:fldCharType="begin"/>
      </w:r>
      <w:r>
        <w:rPr>
          <w:b/>
          <w:bCs/>
        </w:rPr>
        <w:instrText xml:space="preserve"> REF _Ref131860524 \h </w:instrText>
      </w:r>
      <w:r>
        <w:rPr>
          <w:b/>
          <w:bCs/>
        </w:rPr>
      </w:r>
      <w:r>
        <w:rPr>
          <w:b/>
          <w:bCs/>
        </w:rPr>
        <w:fldChar w:fldCharType="separate"/>
      </w:r>
      <w:r w:rsidR="00672104">
        <w:rPr>
          <w:rFonts w:cstheme="minorHAnsi"/>
          <w:b/>
          <w:lang w:eastAsia="ko-KR"/>
        </w:rPr>
        <w:t>RAN4 shall reuse existing requirements for SIB1 (CGI) reading</w:t>
      </w:r>
      <w:r w:rsidR="00672104" w:rsidRPr="007804B0">
        <w:rPr>
          <w:rFonts w:cstheme="minorHAnsi"/>
          <w:b/>
          <w:lang w:eastAsia="ko-KR"/>
        </w:rPr>
        <w:t>.</w:t>
      </w:r>
      <w:r>
        <w:rPr>
          <w:b/>
          <w:bCs/>
        </w:rPr>
        <w:fldChar w:fldCharType="end"/>
      </w:r>
    </w:p>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6F3C031" w14:textId="39C4D311" w:rsidR="00256FA0" w:rsidRPr="00641724" w:rsidRDefault="0012574C" w:rsidP="00641724">
      <w:pPr>
        <w:pStyle w:val="ListParagraph"/>
        <w:numPr>
          <w:ilvl w:val="0"/>
          <w:numId w:val="4"/>
        </w:numPr>
        <w:jc w:val="both"/>
        <w:rPr>
          <w:rFonts w:cstheme="minorHAnsi"/>
          <w:color w:val="000000"/>
        </w:rPr>
      </w:pPr>
      <w:bookmarkStart w:id="7" w:name="_Ref115358872"/>
      <w:r>
        <w:rPr>
          <w:rFonts w:cstheme="minorHAnsi"/>
          <w:color w:val="000000"/>
        </w:rPr>
        <w:t>R</w:t>
      </w:r>
      <w:r w:rsidR="00641724">
        <w:rPr>
          <w:rFonts w:cstheme="minorHAnsi"/>
          <w:color w:val="000000"/>
        </w:rPr>
        <w:t>4-</w:t>
      </w:r>
      <w:r w:rsidR="00EA3CD8" w:rsidRPr="00EA3CD8">
        <w:rPr>
          <w:rFonts w:cstheme="minorHAnsi"/>
          <w:color w:val="000000"/>
        </w:rPr>
        <w:t>2306365</w:t>
      </w:r>
      <w:r>
        <w:rPr>
          <w:rFonts w:cstheme="minorHAnsi"/>
          <w:color w:val="000000"/>
        </w:rPr>
        <w:t>, “</w:t>
      </w:r>
      <w:r w:rsidR="00641724" w:rsidRPr="00641724">
        <w:rPr>
          <w:rFonts w:cstheme="minorHAnsi"/>
          <w:color w:val="000000"/>
        </w:rPr>
        <w:t>WF on R18 RedCap RRM requirements</w:t>
      </w:r>
      <w:r>
        <w:rPr>
          <w:rFonts w:cstheme="minorHAnsi"/>
          <w:color w:val="000000"/>
        </w:rPr>
        <w:t xml:space="preserve">”, </w:t>
      </w:r>
      <w:r w:rsidR="00641724">
        <w:rPr>
          <w:rFonts w:cstheme="minorHAnsi"/>
          <w:color w:val="000000"/>
        </w:rPr>
        <w:t>Ericsson</w:t>
      </w:r>
      <w:r w:rsidR="005E1298">
        <w:rPr>
          <w:rFonts w:cstheme="minorHAnsi"/>
          <w:color w:val="000000"/>
        </w:rPr>
        <w:t>,</w:t>
      </w:r>
      <w:r w:rsidR="00641724">
        <w:rPr>
          <w:rFonts w:cstheme="minorHAnsi"/>
          <w:color w:val="000000"/>
        </w:rPr>
        <w:t xml:space="preserve"> </w:t>
      </w:r>
      <w:r w:rsidR="00EA3CD8">
        <w:rPr>
          <w:rFonts w:cstheme="minorHAnsi"/>
          <w:color w:val="000000"/>
        </w:rPr>
        <w:t>e-meeting</w:t>
      </w:r>
      <w:r w:rsidR="00641724">
        <w:rPr>
          <w:rFonts w:cstheme="minorHAnsi"/>
          <w:color w:val="000000"/>
        </w:rPr>
        <w:t>,</w:t>
      </w:r>
      <w:r w:rsidR="005E1298">
        <w:rPr>
          <w:rFonts w:cstheme="minorHAnsi"/>
          <w:color w:val="000000"/>
        </w:rPr>
        <w:t xml:space="preserve"> </w:t>
      </w:r>
      <w:r w:rsidR="00641724">
        <w:rPr>
          <w:rFonts w:cstheme="minorHAnsi"/>
          <w:color w:val="000000"/>
        </w:rPr>
        <w:t>March</w:t>
      </w:r>
      <w:r w:rsidR="005E1298">
        <w:rPr>
          <w:rFonts w:cstheme="minorHAnsi"/>
          <w:color w:val="000000"/>
        </w:rPr>
        <w:t xml:space="preserve"> 202</w:t>
      </w:r>
      <w:r w:rsidR="00641724">
        <w:rPr>
          <w:rFonts w:cstheme="minorHAnsi"/>
          <w:color w:val="000000"/>
        </w:rPr>
        <w:t>3</w:t>
      </w:r>
      <w:r>
        <w:rPr>
          <w:rFonts w:cstheme="minorHAnsi"/>
          <w:color w:val="000000"/>
        </w:rPr>
        <w:t>.</w:t>
      </w:r>
      <w:bookmarkEnd w:id="7"/>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9880" w14:textId="77777777" w:rsidR="00D9091C" w:rsidRDefault="00D9091C">
      <w:r>
        <w:separator/>
      </w:r>
    </w:p>
  </w:endnote>
  <w:endnote w:type="continuationSeparator" w:id="0">
    <w:p w14:paraId="7AD486EE" w14:textId="77777777" w:rsidR="00D9091C" w:rsidRDefault="00D9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65CF" w14:textId="77777777" w:rsidR="00D9091C" w:rsidRDefault="00D9091C">
      <w:r>
        <w:separator/>
      </w:r>
    </w:p>
  </w:footnote>
  <w:footnote w:type="continuationSeparator" w:id="0">
    <w:p w14:paraId="523B6206" w14:textId="77777777" w:rsidR="00D9091C" w:rsidRDefault="00D90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5"/>
  </w:num>
  <w:num w:numId="2">
    <w:abstractNumId w:val="9"/>
  </w:num>
  <w:num w:numId="3">
    <w:abstractNumId w:val="13"/>
  </w:num>
  <w:num w:numId="4">
    <w:abstractNumId w:val="23"/>
  </w:num>
  <w:num w:numId="5">
    <w:abstractNumId w:val="3"/>
  </w:num>
  <w:num w:numId="6">
    <w:abstractNumId w:val="11"/>
  </w:num>
  <w:num w:numId="7">
    <w:abstractNumId w:val="7"/>
  </w:num>
  <w:num w:numId="8">
    <w:abstractNumId w:val="27"/>
  </w:num>
  <w:num w:numId="9">
    <w:abstractNumId w:val="19"/>
  </w:num>
  <w:num w:numId="10">
    <w:abstractNumId w:val="5"/>
  </w:num>
  <w:num w:numId="11">
    <w:abstractNumId w:val="29"/>
  </w:num>
  <w:num w:numId="12">
    <w:abstractNumId w:val="4"/>
  </w:num>
  <w:num w:numId="13">
    <w:abstractNumId w:val="16"/>
  </w:num>
  <w:num w:numId="14">
    <w:abstractNumId w:val="26"/>
  </w:num>
  <w:num w:numId="15">
    <w:abstractNumId w:val="1"/>
  </w:num>
  <w:num w:numId="16">
    <w:abstractNumId w:val="28"/>
  </w:num>
  <w:num w:numId="17">
    <w:abstractNumId w:val="17"/>
  </w:num>
  <w:num w:numId="18">
    <w:abstractNumId w:val="15"/>
  </w:num>
  <w:num w:numId="19">
    <w:abstractNumId w:val="2"/>
  </w:num>
  <w:num w:numId="20">
    <w:abstractNumId w:val="22"/>
  </w:num>
  <w:num w:numId="21">
    <w:abstractNumId w:val="21"/>
  </w:num>
  <w:num w:numId="22">
    <w:abstractNumId w:val="12"/>
  </w:num>
  <w:num w:numId="23">
    <w:abstractNumId w:val="31"/>
  </w:num>
  <w:num w:numId="24">
    <w:abstractNumId w:val="14"/>
  </w:num>
  <w:num w:numId="25">
    <w:abstractNumId w:val="6"/>
  </w:num>
  <w:num w:numId="26">
    <w:abstractNumId w:val="20"/>
  </w:num>
  <w:num w:numId="27">
    <w:abstractNumId w:val="8"/>
  </w:num>
  <w:num w:numId="28">
    <w:abstractNumId w:val="0"/>
  </w:num>
  <w:num w:numId="29">
    <w:abstractNumId w:val="30"/>
  </w:num>
  <w:num w:numId="30">
    <w:abstractNumId w:val="19"/>
  </w:num>
  <w:num w:numId="31">
    <w:abstractNumId w:val="10"/>
  </w:num>
  <w:num w:numId="32">
    <w:abstractNumId w:val="24"/>
  </w:num>
  <w:num w:numId="33">
    <w:abstractNumId w:val="1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28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6FED"/>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075"/>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4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8B1"/>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03A"/>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4D1"/>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DAC"/>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974"/>
    <w:rsid w:val="002F3AB4"/>
    <w:rsid w:val="002F41F9"/>
    <w:rsid w:val="002F4477"/>
    <w:rsid w:val="002F462D"/>
    <w:rsid w:val="002F46F3"/>
    <w:rsid w:val="002F4702"/>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FB1"/>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B5E"/>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0"/>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5F8A"/>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665"/>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724"/>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04"/>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BD3"/>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C66"/>
    <w:rsid w:val="006C54DE"/>
    <w:rsid w:val="006C54E5"/>
    <w:rsid w:val="006C5522"/>
    <w:rsid w:val="006C5791"/>
    <w:rsid w:val="006C5B9D"/>
    <w:rsid w:val="006C6577"/>
    <w:rsid w:val="006C6644"/>
    <w:rsid w:val="006C6834"/>
    <w:rsid w:val="006C6BD9"/>
    <w:rsid w:val="006C7662"/>
    <w:rsid w:val="006C785E"/>
    <w:rsid w:val="006C7A07"/>
    <w:rsid w:val="006C7AE2"/>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0C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EE5"/>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4B0"/>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3C7"/>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2BB"/>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3F02"/>
    <w:rsid w:val="008D40FE"/>
    <w:rsid w:val="008D44EC"/>
    <w:rsid w:val="008D455D"/>
    <w:rsid w:val="008D4565"/>
    <w:rsid w:val="008D4E52"/>
    <w:rsid w:val="008D4EC0"/>
    <w:rsid w:val="008D4FB9"/>
    <w:rsid w:val="008D51EA"/>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C4"/>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6FAD"/>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58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4D9"/>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0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8E8"/>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45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8D"/>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71"/>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0E"/>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43"/>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3402"/>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220"/>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2C2"/>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91C"/>
    <w:rsid w:val="00D90D3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CAD"/>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56"/>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DEB"/>
    <w:rsid w:val="00E31ECF"/>
    <w:rsid w:val="00E31EEB"/>
    <w:rsid w:val="00E324DF"/>
    <w:rsid w:val="00E326C3"/>
    <w:rsid w:val="00E32789"/>
    <w:rsid w:val="00E33553"/>
    <w:rsid w:val="00E337FC"/>
    <w:rsid w:val="00E33B91"/>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DA4"/>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499F"/>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CB1"/>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3B48"/>
    <w:rsid w:val="00EA3CD8"/>
    <w:rsid w:val="00EA40D5"/>
    <w:rsid w:val="00EA429B"/>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4F"/>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0870"/>
    <w:rsid w:val="00F810BB"/>
    <w:rsid w:val="00F81992"/>
    <w:rsid w:val="00F81FBD"/>
    <w:rsid w:val="00F8206E"/>
    <w:rsid w:val="00F820A6"/>
    <w:rsid w:val="00F820BB"/>
    <w:rsid w:val="00F8239C"/>
    <w:rsid w:val="00F82901"/>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6A5"/>
    <w:rsid w:val="00F907DA"/>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4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F7"/>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B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92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C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46168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22225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31662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311">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21226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738758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3</cp:revision>
  <dcterms:created xsi:type="dcterms:W3CDTF">2023-05-15T19:07:00Z</dcterms:created>
  <dcterms:modified xsi:type="dcterms:W3CDTF">2023-05-15T19:08:00Z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